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9" w:rsidRPr="00386259" w:rsidRDefault="00386259" w:rsidP="00386259">
      <w:pPr>
        <w:shd w:val="clear" w:color="auto" w:fill="ECECEC"/>
        <w:spacing w:line="240" w:lineRule="auto"/>
        <w:jc w:val="center"/>
        <w:rPr>
          <w:rFonts w:ascii="Century Gothic" w:eastAsia="Times New Roman" w:hAnsi="Century Gothic" w:cs="Times New Roman"/>
          <w:caps/>
          <w:color w:val="393185"/>
          <w:sz w:val="28"/>
          <w:szCs w:val="28"/>
        </w:rPr>
      </w:pPr>
      <w:r w:rsidRPr="00386259">
        <w:rPr>
          <w:rFonts w:ascii="Century Gothic" w:eastAsia="Times New Roman" w:hAnsi="Century Gothic" w:cs="Times New Roman"/>
          <w:caps/>
          <w:color w:val="393185"/>
          <w:sz w:val="28"/>
          <w:szCs w:val="28"/>
        </w:rPr>
        <w:t>ПЕРЕРАСПРЕДЕЛЕНИЕ ЗЕМЕЛЬНЫХ УЧАСТКОВ</w:t>
      </w:r>
    </w:p>
    <w:p w:rsidR="00386259" w:rsidRPr="00386259" w:rsidRDefault="00386259" w:rsidP="00386259">
      <w:pPr>
        <w:shd w:val="clear" w:color="auto" w:fill="ECECEC"/>
        <w:spacing w:after="0" w:line="240" w:lineRule="auto"/>
        <w:jc w:val="center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>
        <w:rPr>
          <w:rFonts w:ascii="Century Gothic" w:eastAsia="Times New Roman" w:hAnsi="Century Gothic" w:cs="Times New Roman"/>
          <w:noProof/>
          <w:color w:val="2B2A29"/>
          <w:sz w:val="25"/>
          <w:szCs w:val="25"/>
        </w:rPr>
        <w:drawing>
          <wp:inline distT="0" distB="0" distL="0" distR="0">
            <wp:extent cx="5709920" cy="3242945"/>
            <wp:effectExtent l="19050" t="0" r="5080" b="0"/>
            <wp:docPr id="4" name="Рисунок 1" descr="Перераспределение земельных уча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распределение земельных участ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59" w:rsidRPr="00386259" w:rsidRDefault="00386259" w:rsidP="00386259">
      <w:pPr>
        <w:shd w:val="clear" w:color="auto" w:fill="ECECEC"/>
        <w:spacing w:after="136" w:line="312" w:lineRule="atLeast"/>
        <w:rPr>
          <w:rFonts w:ascii="Century Gothic" w:eastAsia="Times New Roman" w:hAnsi="Century Gothic" w:cs="Times New Roman"/>
          <w:color w:val="2B2A29"/>
          <w:sz w:val="19"/>
          <w:szCs w:val="19"/>
        </w:rPr>
      </w:pPr>
      <w:r w:rsidRPr="00386259">
        <w:rPr>
          <w:rFonts w:ascii="Century Gothic" w:eastAsia="Times New Roman" w:hAnsi="Century Gothic" w:cs="Times New Roman"/>
          <w:color w:val="2B2A29"/>
          <w:sz w:val="19"/>
          <w:szCs w:val="19"/>
        </w:rPr>
        <w:t>Людмила Петрова</w:t>
      </w:r>
    </w:p>
    <w:p w:rsidR="00386259" w:rsidRPr="00386259" w:rsidRDefault="00386259" w:rsidP="00386259">
      <w:pPr>
        <w:shd w:val="clear" w:color="auto" w:fill="ECECEC"/>
        <w:spacing w:after="136" w:line="312" w:lineRule="atLeast"/>
        <w:rPr>
          <w:rFonts w:ascii="Century Gothic" w:eastAsia="Times New Roman" w:hAnsi="Century Gothic" w:cs="Times New Roman"/>
          <w:color w:val="2B2A29"/>
          <w:sz w:val="19"/>
          <w:szCs w:val="19"/>
        </w:rPr>
      </w:pPr>
      <w:r>
        <w:rPr>
          <w:rFonts w:ascii="Century Gothic" w:eastAsia="Times New Roman" w:hAnsi="Century Gothic" w:cs="Times New Roman"/>
          <w:noProof/>
          <w:color w:val="2B2A29"/>
          <w:sz w:val="19"/>
          <w:szCs w:val="19"/>
        </w:rPr>
        <w:drawing>
          <wp:inline distT="0" distB="0" distL="0" distR="0">
            <wp:extent cx="266065" cy="223520"/>
            <wp:effectExtent l="19050" t="0" r="635" b="0"/>
            <wp:docPr id="3" name="Рисунок 2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259">
        <w:rPr>
          <w:rFonts w:ascii="Century Gothic" w:eastAsia="Times New Roman" w:hAnsi="Century Gothic" w:cs="Times New Roman"/>
          <w:color w:val="2B2A29"/>
          <w:sz w:val="19"/>
          <w:szCs w:val="19"/>
        </w:rPr>
        <w:t> 1000 руб.</w:t>
      </w:r>
    </w:p>
    <w:p w:rsidR="00386259" w:rsidRPr="00386259" w:rsidRDefault="00386259" w:rsidP="00386259">
      <w:pPr>
        <w:shd w:val="clear" w:color="auto" w:fill="ECECEC"/>
        <w:spacing w:after="136" w:line="312" w:lineRule="atLeast"/>
        <w:rPr>
          <w:rFonts w:ascii="Century Gothic" w:eastAsia="Times New Roman" w:hAnsi="Century Gothic" w:cs="Times New Roman"/>
          <w:color w:val="393185"/>
          <w:sz w:val="19"/>
          <w:szCs w:val="19"/>
        </w:rPr>
      </w:pPr>
      <w:r w:rsidRPr="00386259">
        <w:rPr>
          <w:rFonts w:ascii="Century Gothic" w:eastAsia="Times New Roman" w:hAnsi="Century Gothic" w:cs="Times New Roman"/>
          <w:b/>
          <w:bCs/>
          <w:color w:val="393185"/>
          <w:sz w:val="19"/>
        </w:rPr>
        <w:t xml:space="preserve">24 февраля 2021 11:00 </w:t>
      </w:r>
      <w:proofErr w:type="spellStart"/>
      <w:r w:rsidRPr="00386259">
        <w:rPr>
          <w:rFonts w:ascii="Century Gothic" w:eastAsia="Times New Roman" w:hAnsi="Century Gothic" w:cs="Times New Roman"/>
          <w:b/>
          <w:bCs/>
          <w:color w:val="393185"/>
          <w:sz w:val="19"/>
        </w:rPr>
        <w:t>мск</w:t>
      </w:r>
      <w:proofErr w:type="spellEnd"/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Кадастровая палата по Карелии приглашает к всестороннему рассмотрению очень важной для любого кадастрового инженера теме. Теме, связанной с решением земельных вопросов. Что позволяет урегулировать споры между собственниками смежных участков? Как законно увеличить площадь своего участка? Ответы на эти вопросы напрямую связаны с раскрытием возможностей, которые дает перераспределение земельных участков.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Что такое перераспределение земельных участков?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Какое соглашение заключают собственники?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Что может стать основанием для отказа в заключени</w:t>
      </w:r>
      <w:proofErr w:type="gramStart"/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и</w:t>
      </w:r>
      <w:proofErr w:type="gramEnd"/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 xml:space="preserve"> соглашения?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На эти и многие другие вопросы вам ответят в ходе вебинара о перераспределении земельных участков. В частности, он будет дополнен информацией о тех случаях, когда нужны: проект межевания территории и схема расположения участка.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Сначала слушатели познакомятся с законодательством на тему образования участков. Затем участников вебинара ждет изучение и порядка перераспределения, и требований к исходным и образуемым участкам.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Присоединяйтесь – будет интересно!</w:t>
      </w:r>
    </w:p>
    <w:p w:rsidR="00386259" w:rsidRPr="00386259" w:rsidRDefault="00386259" w:rsidP="00386259">
      <w:pPr>
        <w:shd w:val="clear" w:color="auto" w:fill="ECECEC"/>
        <w:spacing w:after="272" w:line="240" w:lineRule="auto"/>
        <w:rPr>
          <w:rFonts w:ascii="Century Gothic" w:eastAsia="Times New Roman" w:hAnsi="Century Gothic" w:cs="Times New Roman"/>
          <w:color w:val="2B2A29"/>
          <w:sz w:val="25"/>
          <w:szCs w:val="25"/>
        </w:rPr>
      </w:pPr>
      <w:r w:rsidRPr="00386259">
        <w:rPr>
          <w:rFonts w:ascii="Century Gothic" w:eastAsia="Times New Roman" w:hAnsi="Century Gothic" w:cs="Times New Roman"/>
          <w:color w:val="2B2A29"/>
          <w:sz w:val="25"/>
          <w:szCs w:val="25"/>
        </w:rPr>
        <w:t>ВНИМАНИЕ!</w:t>
      </w:r>
    </w:p>
    <w:p w:rsidR="00C550C0" w:rsidRPr="00386259" w:rsidRDefault="00C550C0" w:rsidP="00386259"/>
    <w:sectPr w:rsidR="00C550C0" w:rsidRPr="00386259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45DB4"/>
    <w:rsid w:val="00074612"/>
    <w:rsid w:val="000A5116"/>
    <w:rsid w:val="000A7B2E"/>
    <w:rsid w:val="000C1A75"/>
    <w:rsid w:val="000C4EF1"/>
    <w:rsid w:val="00124823"/>
    <w:rsid w:val="0017088B"/>
    <w:rsid w:val="0018301F"/>
    <w:rsid w:val="001B6D64"/>
    <w:rsid w:val="0022210C"/>
    <w:rsid w:val="00282FE3"/>
    <w:rsid w:val="00293731"/>
    <w:rsid w:val="002B1723"/>
    <w:rsid w:val="003149FC"/>
    <w:rsid w:val="0038167E"/>
    <w:rsid w:val="00386259"/>
    <w:rsid w:val="003B376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85481"/>
    <w:rsid w:val="00802DC3"/>
    <w:rsid w:val="00805327"/>
    <w:rsid w:val="00877C90"/>
    <w:rsid w:val="00916FD4"/>
    <w:rsid w:val="0095502F"/>
    <w:rsid w:val="009C0CE2"/>
    <w:rsid w:val="009C6E5E"/>
    <w:rsid w:val="009F5A9A"/>
    <w:rsid w:val="00A22D08"/>
    <w:rsid w:val="00A551BC"/>
    <w:rsid w:val="00AD0A50"/>
    <w:rsid w:val="00AD12CB"/>
    <w:rsid w:val="00AD6BFE"/>
    <w:rsid w:val="00B00E8B"/>
    <w:rsid w:val="00B434E5"/>
    <w:rsid w:val="00B8310B"/>
    <w:rsid w:val="00BA24DC"/>
    <w:rsid w:val="00BC2828"/>
    <w:rsid w:val="00BD1F71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29</cp:revision>
  <cp:lastPrinted>2021-02-04T07:50:00Z</cp:lastPrinted>
  <dcterms:created xsi:type="dcterms:W3CDTF">2020-11-16T04:51:00Z</dcterms:created>
  <dcterms:modified xsi:type="dcterms:W3CDTF">2021-02-09T10:55:00Z</dcterms:modified>
</cp:coreProperties>
</file>